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D13" w:rsidRDefault="005141AF" w:rsidP="005141AF">
      <w:pPr>
        <w:jc w:val="center"/>
        <w:rPr>
          <w:b/>
          <w:sz w:val="28"/>
          <w:szCs w:val="28"/>
          <w:u w:val="single"/>
        </w:rPr>
      </w:pPr>
      <w:r w:rsidRPr="005141AF">
        <w:rPr>
          <w:b/>
          <w:sz w:val="28"/>
          <w:szCs w:val="28"/>
          <w:u w:val="single"/>
        </w:rPr>
        <w:t>Langport Town Council</w:t>
      </w:r>
    </w:p>
    <w:p w:rsidR="005141AF" w:rsidRDefault="005141AF" w:rsidP="005141AF">
      <w:pPr>
        <w:spacing w:after="0"/>
      </w:pPr>
      <w:r>
        <w:t>Report Title:</w:t>
      </w:r>
      <w:r>
        <w:tab/>
        <w:t>Review of burial fees and cemetery charges</w:t>
      </w:r>
    </w:p>
    <w:p w:rsidR="005141AF" w:rsidRDefault="005141AF" w:rsidP="005141AF">
      <w:pPr>
        <w:spacing w:after="0"/>
      </w:pPr>
      <w:r>
        <w:t>To:</w:t>
      </w:r>
      <w:r>
        <w:tab/>
      </w:r>
      <w:r>
        <w:tab/>
        <w:t>Finance and Personnel Committee</w:t>
      </w:r>
    </w:p>
    <w:p w:rsidR="005141AF" w:rsidRDefault="005141AF" w:rsidP="005141AF">
      <w:pPr>
        <w:spacing w:after="0"/>
      </w:pPr>
      <w:r>
        <w:t>Date:</w:t>
      </w:r>
      <w:r>
        <w:tab/>
      </w:r>
      <w:r>
        <w:tab/>
        <w:t>16</w:t>
      </w:r>
      <w:r w:rsidRPr="005141AF">
        <w:rPr>
          <w:vertAlign w:val="superscript"/>
        </w:rPr>
        <w:t>th</w:t>
      </w:r>
      <w:r>
        <w:t xml:space="preserve"> September 2024</w:t>
      </w:r>
    </w:p>
    <w:p w:rsidR="005141AF" w:rsidRDefault="005141AF" w:rsidP="005141AF">
      <w:pPr>
        <w:spacing w:after="0"/>
      </w:pPr>
      <w:r>
        <w:t>Report author:</w:t>
      </w:r>
      <w:r>
        <w:tab/>
        <w:t>Gerard Tucker – Town Clerk</w:t>
      </w:r>
    </w:p>
    <w:p w:rsidR="005141AF" w:rsidRDefault="005141AF" w:rsidP="005141AF">
      <w:pPr>
        <w:spacing w:after="0"/>
      </w:pPr>
    </w:p>
    <w:p w:rsidR="005141AF" w:rsidRPr="005141AF" w:rsidRDefault="005141AF" w:rsidP="005141AF">
      <w:pPr>
        <w:spacing w:after="0"/>
        <w:rPr>
          <w:b/>
          <w:u w:val="single"/>
        </w:rPr>
      </w:pPr>
      <w:r w:rsidRPr="005141AF">
        <w:rPr>
          <w:b/>
          <w:u w:val="single"/>
        </w:rPr>
        <w:t>Background</w:t>
      </w:r>
    </w:p>
    <w:p w:rsidR="005141AF" w:rsidRDefault="005141AF" w:rsidP="005141AF">
      <w:pPr>
        <w:spacing w:after="0"/>
      </w:pPr>
      <w:r>
        <w:t>The cemetery on Newtown Road has been managed by the Town Council since it’s inception in 1881. At present there are approximately 1,210 people either buried or have their ashes interred in this cemetery. The area for ashes internment is predominately either side of the main entrance gates, with the area to the right (against Kennel Lane) as yet unused. The burial plots are in areas identified as either consecrated, or non-consecrated, with further sub-division for paupers graves, which are also either consecrated or non-consecrated. The burial fees have not been reviewed since 2019.</w:t>
      </w:r>
    </w:p>
    <w:p w:rsidR="00A97409" w:rsidRDefault="00A97409" w:rsidP="005141AF">
      <w:pPr>
        <w:spacing w:after="0"/>
      </w:pPr>
    </w:p>
    <w:p w:rsidR="00A97409" w:rsidRPr="000B7923" w:rsidRDefault="00A97409" w:rsidP="005141AF">
      <w:pPr>
        <w:spacing w:after="0"/>
        <w:rPr>
          <w:b/>
          <w:u w:val="single"/>
        </w:rPr>
      </w:pPr>
      <w:r w:rsidRPr="000B7923">
        <w:rPr>
          <w:b/>
          <w:u w:val="single"/>
        </w:rPr>
        <w:t>Report</w:t>
      </w:r>
    </w:p>
    <w:p w:rsidR="005141AF" w:rsidRDefault="000B7923" w:rsidP="005141AF">
      <w:pPr>
        <w:spacing w:after="0"/>
      </w:pPr>
      <w:r>
        <w:t>A comparison has been made to other towns who own and manage their own cemeteries in reasonable proximity to Langport. The detailed summary is attached as an appendix to this report.</w:t>
      </w:r>
    </w:p>
    <w:p w:rsidR="000B7923" w:rsidRPr="000B7923" w:rsidRDefault="000B7923" w:rsidP="000B7923">
      <w:pPr>
        <w:spacing w:after="0"/>
        <w:jc w:val="right"/>
        <w:rPr>
          <w:b/>
          <w:i/>
          <w:sz w:val="20"/>
          <w:szCs w:val="20"/>
        </w:rPr>
      </w:pPr>
      <w:r>
        <w:rPr>
          <w:b/>
          <w:i/>
          <w:sz w:val="20"/>
          <w:szCs w:val="20"/>
        </w:rPr>
        <w:t xml:space="preserve">Number or burials and internment 2019 – 2024 </w:t>
      </w:r>
    </w:p>
    <w:tbl>
      <w:tblPr>
        <w:tblStyle w:val="TableGrid"/>
        <w:tblW w:w="0" w:type="auto"/>
        <w:tblInd w:w="1803" w:type="dxa"/>
        <w:tblLook w:val="04A0" w:firstRow="1" w:lastRow="0" w:firstColumn="1" w:lastColumn="0" w:noHBand="0" w:noVBand="1"/>
      </w:tblPr>
      <w:tblGrid>
        <w:gridCol w:w="1696"/>
        <w:gridCol w:w="1910"/>
        <w:gridCol w:w="1803"/>
      </w:tblGrid>
      <w:tr w:rsidR="000B7923" w:rsidTr="000804AA">
        <w:tc>
          <w:tcPr>
            <w:tcW w:w="1696" w:type="dxa"/>
          </w:tcPr>
          <w:p w:rsidR="000B7923" w:rsidRPr="000B7923" w:rsidRDefault="000B7923" w:rsidP="005141AF">
            <w:pPr>
              <w:rPr>
                <w:b/>
              </w:rPr>
            </w:pPr>
            <w:r>
              <w:rPr>
                <w:b/>
              </w:rPr>
              <w:t>Year</w:t>
            </w:r>
          </w:p>
        </w:tc>
        <w:tc>
          <w:tcPr>
            <w:tcW w:w="1910" w:type="dxa"/>
          </w:tcPr>
          <w:p w:rsidR="000B7923" w:rsidRPr="000B7923" w:rsidRDefault="000B7923" w:rsidP="005141AF">
            <w:pPr>
              <w:rPr>
                <w:b/>
              </w:rPr>
            </w:pPr>
            <w:r>
              <w:rPr>
                <w:b/>
              </w:rPr>
              <w:t>Burials</w:t>
            </w:r>
          </w:p>
        </w:tc>
        <w:tc>
          <w:tcPr>
            <w:tcW w:w="1803" w:type="dxa"/>
          </w:tcPr>
          <w:p w:rsidR="000B7923" w:rsidRPr="000B7923" w:rsidRDefault="000B7923" w:rsidP="005141AF">
            <w:pPr>
              <w:rPr>
                <w:b/>
              </w:rPr>
            </w:pPr>
            <w:r>
              <w:rPr>
                <w:b/>
              </w:rPr>
              <w:t>Internment of ashes</w:t>
            </w:r>
          </w:p>
        </w:tc>
      </w:tr>
      <w:tr w:rsidR="000B7923" w:rsidTr="000804AA">
        <w:tc>
          <w:tcPr>
            <w:tcW w:w="1696" w:type="dxa"/>
          </w:tcPr>
          <w:p w:rsidR="000B7923" w:rsidRDefault="000804AA" w:rsidP="005141AF">
            <w:r>
              <w:t>2024</w:t>
            </w:r>
          </w:p>
        </w:tc>
        <w:tc>
          <w:tcPr>
            <w:tcW w:w="1910" w:type="dxa"/>
          </w:tcPr>
          <w:p w:rsidR="000B7923" w:rsidRDefault="000804AA" w:rsidP="000804AA">
            <w:pPr>
              <w:jc w:val="center"/>
            </w:pPr>
            <w:r>
              <w:t>1</w:t>
            </w:r>
          </w:p>
        </w:tc>
        <w:tc>
          <w:tcPr>
            <w:tcW w:w="1803" w:type="dxa"/>
          </w:tcPr>
          <w:p w:rsidR="000B7923" w:rsidRDefault="000804AA" w:rsidP="000804AA">
            <w:pPr>
              <w:jc w:val="center"/>
            </w:pPr>
            <w:r>
              <w:t>3</w:t>
            </w:r>
          </w:p>
        </w:tc>
      </w:tr>
      <w:tr w:rsidR="000B7923" w:rsidTr="000804AA">
        <w:tc>
          <w:tcPr>
            <w:tcW w:w="1696" w:type="dxa"/>
          </w:tcPr>
          <w:p w:rsidR="000B7923" w:rsidRDefault="000804AA" w:rsidP="005141AF">
            <w:r>
              <w:t>2023</w:t>
            </w:r>
          </w:p>
        </w:tc>
        <w:tc>
          <w:tcPr>
            <w:tcW w:w="1910" w:type="dxa"/>
          </w:tcPr>
          <w:p w:rsidR="000B7923" w:rsidRDefault="000804AA" w:rsidP="000804AA">
            <w:pPr>
              <w:jc w:val="center"/>
            </w:pPr>
            <w:r>
              <w:t>1</w:t>
            </w:r>
          </w:p>
        </w:tc>
        <w:tc>
          <w:tcPr>
            <w:tcW w:w="1803" w:type="dxa"/>
          </w:tcPr>
          <w:p w:rsidR="000B7923" w:rsidRDefault="000804AA" w:rsidP="000804AA">
            <w:pPr>
              <w:jc w:val="center"/>
            </w:pPr>
            <w:r>
              <w:t>2</w:t>
            </w:r>
          </w:p>
        </w:tc>
      </w:tr>
      <w:tr w:rsidR="000B7923" w:rsidTr="000804AA">
        <w:tc>
          <w:tcPr>
            <w:tcW w:w="1696" w:type="dxa"/>
          </w:tcPr>
          <w:p w:rsidR="000B7923" w:rsidRDefault="000804AA" w:rsidP="005141AF">
            <w:r>
              <w:t>2022</w:t>
            </w:r>
          </w:p>
        </w:tc>
        <w:tc>
          <w:tcPr>
            <w:tcW w:w="1910" w:type="dxa"/>
          </w:tcPr>
          <w:p w:rsidR="000B7923" w:rsidRDefault="000804AA" w:rsidP="000804AA">
            <w:pPr>
              <w:jc w:val="center"/>
            </w:pPr>
            <w:r>
              <w:t>3</w:t>
            </w:r>
          </w:p>
        </w:tc>
        <w:tc>
          <w:tcPr>
            <w:tcW w:w="1803" w:type="dxa"/>
          </w:tcPr>
          <w:p w:rsidR="000B7923" w:rsidRDefault="000804AA" w:rsidP="000804AA">
            <w:pPr>
              <w:jc w:val="center"/>
            </w:pPr>
            <w:r>
              <w:t>0</w:t>
            </w:r>
          </w:p>
        </w:tc>
      </w:tr>
      <w:tr w:rsidR="000B7923" w:rsidTr="000804AA">
        <w:tc>
          <w:tcPr>
            <w:tcW w:w="1696" w:type="dxa"/>
          </w:tcPr>
          <w:p w:rsidR="000B7923" w:rsidRDefault="000804AA" w:rsidP="005141AF">
            <w:r>
              <w:t>2021</w:t>
            </w:r>
          </w:p>
        </w:tc>
        <w:tc>
          <w:tcPr>
            <w:tcW w:w="1910" w:type="dxa"/>
          </w:tcPr>
          <w:p w:rsidR="000B7923" w:rsidRDefault="000804AA" w:rsidP="000804AA">
            <w:pPr>
              <w:jc w:val="center"/>
            </w:pPr>
            <w:r>
              <w:t>4</w:t>
            </w:r>
          </w:p>
        </w:tc>
        <w:tc>
          <w:tcPr>
            <w:tcW w:w="1803" w:type="dxa"/>
          </w:tcPr>
          <w:p w:rsidR="000B7923" w:rsidRDefault="000804AA" w:rsidP="000804AA">
            <w:pPr>
              <w:jc w:val="center"/>
            </w:pPr>
            <w:r>
              <w:t>0</w:t>
            </w:r>
          </w:p>
        </w:tc>
      </w:tr>
      <w:tr w:rsidR="000B7923" w:rsidTr="000804AA">
        <w:tc>
          <w:tcPr>
            <w:tcW w:w="1696" w:type="dxa"/>
          </w:tcPr>
          <w:p w:rsidR="000B7923" w:rsidRDefault="000804AA" w:rsidP="005141AF">
            <w:r>
              <w:t>2020</w:t>
            </w:r>
          </w:p>
        </w:tc>
        <w:tc>
          <w:tcPr>
            <w:tcW w:w="1910" w:type="dxa"/>
          </w:tcPr>
          <w:p w:rsidR="000B7923" w:rsidRDefault="000804AA" w:rsidP="000804AA">
            <w:pPr>
              <w:jc w:val="center"/>
            </w:pPr>
            <w:r>
              <w:t>3</w:t>
            </w:r>
          </w:p>
        </w:tc>
        <w:tc>
          <w:tcPr>
            <w:tcW w:w="1803" w:type="dxa"/>
          </w:tcPr>
          <w:p w:rsidR="000B7923" w:rsidRDefault="000804AA" w:rsidP="000804AA">
            <w:pPr>
              <w:jc w:val="center"/>
            </w:pPr>
            <w:r>
              <w:t>4</w:t>
            </w:r>
          </w:p>
        </w:tc>
      </w:tr>
      <w:tr w:rsidR="000B7923" w:rsidTr="000804AA">
        <w:tc>
          <w:tcPr>
            <w:tcW w:w="1696" w:type="dxa"/>
          </w:tcPr>
          <w:p w:rsidR="000B7923" w:rsidRDefault="000804AA" w:rsidP="005141AF">
            <w:r>
              <w:t>2019</w:t>
            </w:r>
          </w:p>
        </w:tc>
        <w:tc>
          <w:tcPr>
            <w:tcW w:w="1910" w:type="dxa"/>
          </w:tcPr>
          <w:p w:rsidR="000B7923" w:rsidRDefault="000804AA" w:rsidP="000804AA">
            <w:pPr>
              <w:jc w:val="center"/>
            </w:pPr>
            <w:r>
              <w:t>5</w:t>
            </w:r>
          </w:p>
        </w:tc>
        <w:tc>
          <w:tcPr>
            <w:tcW w:w="1803" w:type="dxa"/>
          </w:tcPr>
          <w:p w:rsidR="000B7923" w:rsidRDefault="000804AA" w:rsidP="000804AA">
            <w:pPr>
              <w:jc w:val="center"/>
            </w:pPr>
            <w:r>
              <w:t>2</w:t>
            </w:r>
          </w:p>
        </w:tc>
      </w:tr>
    </w:tbl>
    <w:p w:rsidR="000B7923" w:rsidRDefault="000B7923" w:rsidP="005141AF">
      <w:pPr>
        <w:spacing w:after="0"/>
      </w:pPr>
    </w:p>
    <w:p w:rsidR="005141AF" w:rsidRDefault="000804AA" w:rsidP="005141AF">
      <w:pPr>
        <w:spacing w:after="0"/>
        <w:rPr>
          <w:b/>
          <w:u w:val="single"/>
        </w:rPr>
      </w:pPr>
      <w:r w:rsidRPr="000804AA">
        <w:rPr>
          <w:b/>
          <w:u w:val="single"/>
        </w:rPr>
        <w:t>Recom</w:t>
      </w:r>
      <w:r>
        <w:rPr>
          <w:b/>
          <w:u w:val="single"/>
        </w:rPr>
        <w:t>m</w:t>
      </w:r>
      <w:r w:rsidRPr="000804AA">
        <w:rPr>
          <w:b/>
          <w:u w:val="single"/>
        </w:rPr>
        <w:t>endation</w:t>
      </w:r>
    </w:p>
    <w:p w:rsidR="000804AA" w:rsidRPr="000804AA" w:rsidRDefault="000804AA" w:rsidP="005141AF">
      <w:pPr>
        <w:spacing w:after="0"/>
      </w:pPr>
      <w:r>
        <w:t>It is recommended that councillors discuss and recommend to Full Council an increase to the burial fees and charges, to be introduced from 1st January 2025</w:t>
      </w:r>
      <w:bookmarkStart w:id="0" w:name="_GoBack"/>
      <w:bookmarkEnd w:id="0"/>
    </w:p>
    <w:sectPr w:rsidR="000804AA" w:rsidRPr="00080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F"/>
    <w:rsid w:val="000804AA"/>
    <w:rsid w:val="000B7923"/>
    <w:rsid w:val="005141AF"/>
    <w:rsid w:val="00813D13"/>
    <w:rsid w:val="00A9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D207"/>
  <w15:chartTrackingRefBased/>
  <w15:docId w15:val="{AB95EDEC-6E02-4EAB-877D-74743C8D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Speed</dc:creator>
  <cp:keywords/>
  <dc:description/>
  <cp:lastModifiedBy>Deborah Speed</cp:lastModifiedBy>
  <cp:revision>2</cp:revision>
  <dcterms:created xsi:type="dcterms:W3CDTF">2024-09-09T12:31:00Z</dcterms:created>
  <dcterms:modified xsi:type="dcterms:W3CDTF">2024-09-09T12:55:00Z</dcterms:modified>
</cp:coreProperties>
</file>